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0D4" w:rsidRPr="00EE30D4" w:rsidRDefault="00EE30D4" w:rsidP="00EE30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Приказ Министерства внутренних дел Российской Федерации от 20 сентября 2011 г. N 1020 г. Москва "Об утверждении Криминалистических требований Министерства внутренних дел Российской Федерации к техническим характеристикам гражданского и служебного оружия, а также патронов к нему" </w:t>
      </w:r>
    </w:p>
    <w:p w:rsidR="00EE30D4" w:rsidRPr="00EE30D4" w:rsidRDefault="00EE30D4" w:rsidP="00EE30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0D4" w:rsidRPr="00EE30D4" w:rsidRDefault="00EE30D4" w:rsidP="00EE3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Опубликовано 21 октября 2011 г. 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Зарегистрирован в Минюсте РФ 13 октября 2011 г. 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Регистрационный N 22048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статьями 3,4 и 6 Федерального закона от 13 декабря 1996 г. N 150-ФЗ "Об оружии"</w:t>
      </w:r>
      <w:r w:rsidRPr="00EE30D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1 </w:t>
      </w: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согласованные с Федеральным агентством по техническому регулированию и </w:t>
      </w:r>
      <w:proofErr w:type="gram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метрологии</w:t>
      </w:r>
      <w:proofErr w:type="gram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прилагаемые Криминалистические требования Министерства внутренних дел Российской Федерации к техническим характеристикам гражданского и служебного оружия, а также патронов к нему.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Министр генерал армии Р. </w:t>
      </w:r>
      <w:proofErr w:type="spellStart"/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Нургалиев</w:t>
      </w:r>
      <w:proofErr w:type="spellEnd"/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1</w:t>
      </w:r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Собрание законодательства Российской Федерации. 1996, N 51, ст. 5681; 2001, N 31, ст. 3171; 2008, N 52, ст. 6227; 2009, N 7, ст. 770; 2010, N 23, ст. 2793.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Приложение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7"/>
          <w:szCs w:val="27"/>
          <w:lang w:eastAsia="ru-RU"/>
        </w:rPr>
        <w:t>Криминалистические требования Министерства внутренних дел Российской Федерации к техническим характеристикам гражданского и служебного оружия, а также патронов к нему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Общие положения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Настоящие Криминалистические требования Министерства внутренних дел Российской Федерации к техническим характеристикам гражданского и служебного оружия, а также патронов к нему [1] устанавливают обязательные к соблюдению специальные технические </w:t>
      </w: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параметры гражданского, служебного оружия, патронов к нему, производимых на территории Российской Федерации и ввозимых на ее территорию.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Криминалистических требованиях используются основные понятия и термины, определенные Федеральным законом от 13 декабря 1996 г. N 150-ФЗ "Об оружии".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Огнестрельное оружие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3. Гражданское нарезное огнестрельное оружие (за исключением спортивного) должно иметь отличия не менее чем по одному из параметров канала ствола от боевого огнестрельного оружия отечественного производства, изготовленного под один тип патрона.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Отличия по ширине нарезов должны быть не менее 0,2 мм между полями допусков, а отличия по шагу нарезов должны обеспечивать отличия угла наклона нарезов не менее одного градуса между полями допусков. Конструктивные отличия по профилю нарезов должны обеспечивать возможность их дифференциации в следах на пулях с помощью криминалистических методов исследования.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5. Гражданское нарезное огнестрельное оружие должно иметь отличия по следам на гильзах от боевого нарезного огнестрельного оружия отечественного производства, изготовленного под один тип патрона.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Служебное нарезное огнестрельное оружие должно иметь отличия от боевого нарезного огнестрельного оружия по типам и размерам патрона, а от гражданского нарезного огнестрельного оружия, изготовленного под один тип патрона, не менее чем по одному из параметров канала ствола, перечисленных в абзаце втором пункта 4 Криминалистических требований.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Служебное огнестрельное многозарядное магазинное гладкоствольное оружие должно иметь отличия по следам на гильзах от гражданского огнестрельного многозарядного магазинного гладкоствольного оружия, изготовленного под один тип патрона.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8. Гражданское и служебное огнестрельное оружие не должно иметь в своей конструкции интегрированных или иных глушителей.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Длинноствольное огнестрельное оружие, имеющее конструкцию, которая позволяет сделать его длину менее 800 мм, не должно в результате внесения обратимых изменений в конструкцию сохранять способность производства выстрелов.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Нарезное огнестрельное оружие, нарезные вкладные стволы к гладкоствольному огнестрельному оружию, а также короткоствольное огнестрельное оружие с гладким стволом, должны образовывать на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выстреленных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пулях следы канала ствола, содержащие комплекс признаков, достаточный для идентификации оружия.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Нарезное и гладкоствольное огнестрельное оружие должно образовывать на стреляных гильзах следы оружия, содержащие комплекс признаков, достаточный для идентификации оружия.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Длинноствольное огнестрельное оружие должно иметь маркировочные обозначения индивидуального номера, выполненные на стволе и ствольной коробке (колодке), а короткоствольное огнестрельное оружие - на рамке (в случае наличия съемного ствола и </w:t>
      </w: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стволе) и затворе или барабане. Глубина нанесения индивидуального номера должна составлять не менее 0,2 мм.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Огнестрельное оружие ограниченного поражения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13. Огнестрельное оружие ограниченного поражения не должно без необратимых изменений конструкции обеспечивать возможность производства выстрелов металлическими снарядами, в результате которых им сообщается удельная кинетическая энергия более 0,5 Дж/мм [2] 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Огнестрельное оружие ограниченного поражения должно образовывать на стреляных гильзах следы частей и деталей, пригодные для его идентификации.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15. Огнестрельное оружие ограниченного поражения не должно быть изготовлено из огнестрельного оружия, посредством его переделки или использования его основных частей.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Основные части огнестрельного оружия ограниченного поражения не должны обеспечивать возможность их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заменяемости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основными частями боевого, гражданского и служебного огнестрельного оружия в целях его ремонта и восстановления поражающих свойств.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17. Огнестрельное оружие ограниченного поражения должно иметь маркировочные обозначения индивидуального номера, выполненные на рамке и затворе или барабане. Глубина нанесения индивидуального номера должна составлять не менее 0,2 мм.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Сигнальное и газовое оружие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18. Сигнальное и газовое оружие не должно, без необратимых изменений конструкции, обеспечивать возможность производства выстрелов металлическими снарядами, в результате которых им сообщается удельная кинетическая энергия более 0,5 Дж/мм [2] 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19. Газовое оружие не должно иметь возможность производства выстрелов патронами травматического действия.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20. Сигнальное оружие калибра не более 6 мм не должно иметь возможность производства выстрелов газовыми патронами без внесения необратимых изменений в конструкцию оружия.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Конструктивные особенности основных частей газового и сигнального оружия не должны обеспечивать возможность их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заменяемости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основными частями боевого, гражданского и служебного огнестрельного оружия (за исключением огнестрельного оружия ограниченного поражения) в целях его ремонта и восстановления поражающих свойств.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22. Сигнальное и газовое оружие не должно быть изготовлено из огнестрельного оружия, посредством его переделки или использования его основных частей.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23. Сигнальное и газовое оружие должно образовывать на стреляных гильзах следы частей и деталей, пригодные для его идентификации.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24. Сигнальное оружие калибра более 6 мм и газовое оружие должно иметь маркировочные обозначения индивидуального номера, выполненные на рамке, затворе, барабане. Глубина нанесения индивидуального номера должна составлять не менее 0,2 мм.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Пневматическое оружие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25. Пневматическое оружие не должно без необратимых изменений конструкции обеспечивать возможность его использования в качестве огнестрельного оружия.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26. Пневматическое оружие не должно быть изготовлено из огнестрельного оружия посредством его переделки или использования его основных частей.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Конструктивные особенности основных частей пневматического оружия не должны обеспечивать возможности их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заменяемости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основными частями боевого, гражданского и служебного огнестрельного оружия в целях его ремонта и восстановления поражающих свойств.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28. Пневматическое оружие с дульной энергией свыше 7,5 Дж или калибром более 4,5 мм должно иметь маркировочные обозначения индивидуального номера, выполненные на одной из основных частей на глубину не менее 0,2 мм.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Патроны к оружию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29. Пули патронов к огнестрельному нарезному и короткоствольному гладкоствольному оружию должны обеспечивать сохранение на них следов частей и деталей оружия, пригодных для его идентификации. Указанное требование не распространяется на пули (снаряды) патронов травматического действия.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30. Гильзы патронов к огнестрельному нарезному и гладкоствольному оружию, огнестрельному оружию ограниченного поражения, газовому и сигнальному оружию должны обеспечивать сохранение на них следов частей и деталей, пригодных для его идентификации.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31. Пули патронов огнестрельного оружия ограниченного поражения не должны иметь металлических сердечников.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Холодное клинковое оружие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32. К гражданскому холодному клинковому оружию относятся ножи и кинжалы охотничьи, ножи для выживания, тесаки охотничьи и оружие холодное клинковое, предназначенное для ношения с казачьей формой и национальными костюмами народов Российской Федерации</w:t>
      </w:r>
      <w:proofErr w:type="gramStart"/>
      <w:r w:rsidRPr="00EE30D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. Холодное клинковое оружие комплектуется предохранительными ножнами.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33. Ножи и кинжалы охотничьи, ножи для выживания и тесаки охотничьи состоят из клинка и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травмобезопасной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рукояти и конструктивно предназначены для поражения цели с помощью мускульной силы человека.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33.1. Технические характеристики клинков ножей охотничьих: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более 90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толщина обуха более 2,6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ножей охотничьих допускается выполнение дополнительной заточки на скосе и части обуха на длину до 1/3 клинка (от его острия).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33.2. Технические характеристики клинков ножей для выживания соответствуют техническим характеристикам, установленным для ножей охотничьих. Рукояти ножей для выживания содержат конструктивные элементы, позволяющие выполнять хозяйственные функции.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33.3. Технические характеристики кинжалов охотничьих: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кинжалы охотничьи по своей конструкции нескладные (разборные и неразборные). Изготовление складных кинжалов не допускается;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не менее 150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не менее 4,0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клинка не менее 25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соотношение длины клинка к его ширине не более 6:1;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клинках кинжалов охотничьих допускается наличие односторонней или двухсторонней пяты на длину не более 1/3 клинка.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33.4. Технические характеристики тесаков охотничьих: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от 210 до 500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обуха не менее 3,0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клинка от 25 до 45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 острия не более 70</w:t>
      </w:r>
      <w:proofErr w:type="gram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заточки клинка не ромбической и не клиновидной формы непосредственно у острия более 20 мм.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34. Твердость клинков ножей и кинжалов охотничьих, ножей для выживания и </w:t>
      </w:r>
      <w:proofErr w:type="gram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тесаков</w:t>
      </w:r>
      <w:proofErr w:type="gram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охотничьих не менее 42 единиц по шкале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Роквелла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(42 HRC).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35. Рукоять ножей и кинжалов охотничьих, ножей для выживания и тесаков охотничьих считается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травмобезопасной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превышение ширины одностороннего или двухстороннего (в сумме) ограничителя над шириной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черена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рукояти ножей и кинжалов охотничьих, ножей для выживания более 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глубина одиночной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подпальцевой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выемки на передней втулке или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черене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рукояти более 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глубина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подпальцевых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выемок на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черене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рукояти, имеющем более одной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подпальцевой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выемки, более 4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толщина пяты клинка, используемой в качестве ограничителя или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подпальцевой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выемки, более 3,5 мм.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36. Ножи и кинжалы охотничьи, ножи для выживания и тесаки охотничьи должны иметь маркировочные обозначения на любой несъемной детали.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 Оружие холодное клинковое (сабли, шашки, кинжалы), предназначенное для ношения с казачьей формой и национальными костюмами народов Российской Федерации.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37.1. Технические характеристики для шашек, являющихся принадлежностью казачьей формы.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37.1.1. Казачья шашка: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длина (без ножен) 966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815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наибольшая ширина клинка 32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 - до 1,2 кг.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37.1.2. Казачья шашка (кавказская):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длина (без ножен) 960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795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наибольшая ширина клинка 35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 - до 1,2 кг.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37.2. Технические характеристики для сабель и шашек, являющихся принадлежностью национальных костюмов: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длина от 730 до 1150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от 650 до 900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клинка не менее 4,0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клинка от 23 до 55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твердость клинка не менее 42 единиц по шкале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Роквелла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(42 HRC).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37.3. Технические требования для кинжалов, являющихся принадлежностью казачьей формы и национальных костюмов.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37.3.1. Технические требования для кинжалов, являющихся принадлежностью казачьей формы: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клинка - </w:t>
      </w:r>
      <w:proofErr w:type="gram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прямой</w:t>
      </w:r>
      <w:proofErr w:type="gram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двулезвийный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четырьмя узкими долами;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длина (без ножен) 550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350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наибольшая ширина клинка 40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 - до 0,5 кг.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37.3.2. Технические требования для кинжалов, являющихся принадлежностью национальных костюмов: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длина от 400 до 600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 клинка от 300 до 440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клинка не менее 5,0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 клинка от 25 до 45 мм;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соотношение длины клинка к его ширине более чем 7:1;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клинок прямой;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клинок изогнутый;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твердость клинка не менее 42 единиц по шкале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Роквелла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(42 HRC).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37.4. Холодное клинковое оружие, предназначенное для ношения с казачьей формой и национальными костюмами народов Российской Федерации, должно иметь маркировочные обозначения на любой несъемной детали.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VIII. Метательное оружие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38. К метательному гражданскому оружию относятся луки (универсальные спортивно-охотничьи) и арбалеты (универсальные спортивно-охотничьи и матчевые спортивные), предназначенные для занятий спортом и охотой.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39. Основным критерием для классификации луков по видам является сила дуги, которая для луков универсальных спортивно-охотничьих имеет величину более 27 кгс (60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Lbs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40. Основным критерием для классификации арбалетов по видам является сила дуги (дуг), которая для арбалетов универсальных спортивно-охотничьих и матчевых спортивных имеет величину более 43 кгс (95 </w:t>
      </w:r>
      <w:proofErr w:type="spellStart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Lbs</w:t>
      </w:r>
      <w:proofErr w:type="spellEnd"/>
      <w:r w:rsidRPr="00EE30D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t>1</w:t>
      </w:r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Далее - "Криминалистические требования".</w:t>
      </w:r>
    </w:p>
    <w:p w:rsidR="00EE30D4" w:rsidRPr="00EE30D4" w:rsidRDefault="00EE30D4" w:rsidP="00EE30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ru-RU"/>
        </w:rPr>
        <w:lastRenderedPageBreak/>
        <w:t>2</w:t>
      </w:r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Перечень типов и описание моделей холодного клинкового оружия, предназначенного для ношения с казачьей формой, утверждены постановлением Правительства Российской Федерации от 3 сентября 2001 г. N 648 "О холодном клинковом оружии, предназначенном для ношения с казачьей формой" (Собрание законодательства Российской Федерации, 2001, N 37, ст. 3690; 2005, N 7, ст. 560; </w:t>
      </w:r>
      <w:proofErr w:type="gramStart"/>
      <w:r w:rsidRPr="00EE30D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2009, N 12,ст. 1429; 2011, N 22, ст. 3173).</w:t>
      </w:r>
      <w:proofErr w:type="gramEnd"/>
    </w:p>
    <w:p w:rsidR="00677FAA" w:rsidRDefault="00677FAA"/>
    <w:sectPr w:rsidR="00677FAA" w:rsidSect="00677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41538"/>
    <w:multiLevelType w:val="multilevel"/>
    <w:tmpl w:val="BE36C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EE30D4"/>
    <w:rsid w:val="00677FAA"/>
    <w:rsid w:val="00EE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FAA"/>
  </w:style>
  <w:style w:type="paragraph" w:styleId="1">
    <w:name w:val="heading 1"/>
    <w:basedOn w:val="a"/>
    <w:link w:val="10"/>
    <w:uiPriority w:val="9"/>
    <w:qFormat/>
    <w:rsid w:val="00EE30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0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E30D4"/>
    <w:rPr>
      <w:color w:val="0000FF"/>
      <w:u w:val="single"/>
    </w:rPr>
  </w:style>
  <w:style w:type="character" w:customStyle="1" w:styleId="maintext">
    <w:name w:val="maintext"/>
    <w:basedOn w:val="a0"/>
    <w:rsid w:val="00EE30D4"/>
  </w:style>
  <w:style w:type="paragraph" w:styleId="a4">
    <w:name w:val="Normal (Web)"/>
    <w:basedOn w:val="a"/>
    <w:uiPriority w:val="99"/>
    <w:semiHidden/>
    <w:unhideWhenUsed/>
    <w:rsid w:val="00EE3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7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2030</Words>
  <Characters>11577</Characters>
  <Application>Microsoft Office Word</Application>
  <DocSecurity>0</DocSecurity>
  <Lines>96</Lines>
  <Paragraphs>27</Paragraphs>
  <ScaleCrop>false</ScaleCrop>
  <Company>Microsoft</Company>
  <LinksUpToDate>false</LinksUpToDate>
  <CharactersWithSpaces>13580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2013-07-27T13:29:00Z</dcterms:created>
  <dcterms:modified xsi:type="dcterms:W3CDTF">2013-07-27T13:30:00Z</dcterms:modified>
</cp:coreProperties>
</file>