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33" w:rsidRDefault="00015E33" w:rsidP="00015E33">
      <w:pPr>
        <w:pStyle w:val="a3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8.25pt;height:91.4pt"/>
        </w:pict>
      </w:r>
    </w:p>
    <w:p w:rsidR="00015E33" w:rsidRDefault="00015E33" w:rsidP="00015E33">
      <w:pPr>
        <w:pStyle w:val="a3"/>
        <w:jc w:val="center"/>
        <w:outlineLvl w:val="2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ПЛЕНУМ ВЕРХОВНОГО СУДА РОССИЙСКОЙ ФЕДЕРАЦИИ </w:t>
      </w:r>
    </w:p>
    <w:p w:rsidR="00015E33" w:rsidRDefault="00015E33" w:rsidP="00015E33">
      <w:pPr>
        <w:pStyle w:val="a3"/>
      </w:pPr>
      <w:r>
        <w:t> </w:t>
      </w:r>
    </w:p>
    <w:p w:rsidR="00015E33" w:rsidRDefault="00015E33" w:rsidP="00015E33">
      <w:pPr>
        <w:pStyle w:val="a3"/>
        <w:jc w:val="center"/>
        <w:outlineLvl w:val="2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ПОСТАНОВЛЕНИЕ </w:t>
      </w:r>
      <w:r>
        <w:rPr>
          <w:b/>
          <w:bCs/>
          <w:sz w:val="36"/>
          <w:szCs w:val="36"/>
        </w:rPr>
        <w:br/>
        <w:t xml:space="preserve">от 12 марта 2002 г. N 5 </w:t>
      </w:r>
    </w:p>
    <w:p w:rsidR="00015E33" w:rsidRDefault="00015E33" w:rsidP="00015E33">
      <w:pPr>
        <w:pStyle w:val="a3"/>
      </w:pPr>
      <w:r>
        <w:t> </w:t>
      </w:r>
    </w:p>
    <w:p w:rsidR="00015E33" w:rsidRDefault="00015E33" w:rsidP="00015E33">
      <w:pPr>
        <w:pStyle w:val="a3"/>
        <w:jc w:val="center"/>
        <w:outlineLvl w:val="2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О СУДЕБНОЙ ПРАКТИКЕ ПО ДЕЛАМ О ХИЩЕНИИ, ВЫМОГАТЕЛЬСТВЕ И НЕЗАКОННОМ ОБОРОТЕ ОРУЖИЯ, БОЕПРИПАСОВ, ВЗРЫВЧАТЫХ ВЕЩЕСТВ И ВЗРЫВНЫХ УСТРОЙСТВ </w:t>
      </w:r>
    </w:p>
    <w:p w:rsidR="00015E33" w:rsidRDefault="00015E33" w:rsidP="00015E33">
      <w:pPr>
        <w:pStyle w:val="a3"/>
      </w:pPr>
      <w:r>
        <w:t> </w:t>
      </w:r>
    </w:p>
    <w:p w:rsidR="00015E33" w:rsidRDefault="00015E33" w:rsidP="00015E33">
      <w:pPr>
        <w:pStyle w:val="a3"/>
        <w:jc w:val="center"/>
      </w:pPr>
      <w:r>
        <w:t xml:space="preserve">(в ред. Постановления Пленума Верховного Суда РФ </w:t>
      </w:r>
      <w:hyperlink r:id="rId4" w:history="1">
        <w:r>
          <w:rPr>
            <w:rStyle w:val="a4"/>
          </w:rPr>
          <w:t>от 06.02.2007 N 7</w:t>
        </w:r>
      </w:hyperlink>
      <w:r>
        <w:t>)</w:t>
      </w:r>
    </w:p>
    <w:p w:rsidR="00015E33" w:rsidRDefault="00015E33" w:rsidP="00015E33">
      <w:pPr>
        <w:pStyle w:val="a3"/>
      </w:pPr>
      <w:r>
        <w:t> </w:t>
      </w:r>
      <w:r>
        <w:br/>
        <w:t xml:space="preserve">    В связи с вопросами, возникающими у судов при применении законодательства, предусматривающего ответственность за незаконное ношение, хранение, приобретение, изготовление или сбыт оружия, боеприпасов, взрывчатых веществ и </w:t>
      </w:r>
      <w:bookmarkStart w:id="0" w:name="l105"/>
      <w:bookmarkEnd w:id="0"/>
      <w:r>
        <w:t xml:space="preserve">взрывных устройств, а </w:t>
      </w:r>
      <w:bookmarkStart w:id="1" w:name="l37"/>
      <w:bookmarkEnd w:id="1"/>
      <w:r>
        <w:t xml:space="preserve">также за их хищение или вымогательство, Пленум Верховного Суда Российской Федерации постановляет дать судам следующие разъяснения: </w:t>
      </w:r>
      <w:r>
        <w:br/>
        <w:t xml:space="preserve">    1. </w:t>
      </w:r>
      <w:proofErr w:type="gramStart"/>
      <w:r>
        <w:t xml:space="preserve">При решении вопроса о наличии в действиях лица признаков составов преступлений, предусмотренных статьями </w:t>
      </w:r>
      <w:hyperlink r:id="rId5" w:anchor="l974" w:history="1">
        <w:r>
          <w:rPr>
            <w:rStyle w:val="a4"/>
          </w:rPr>
          <w:t>222</w:t>
        </w:r>
      </w:hyperlink>
      <w:r>
        <w:t xml:space="preserve"> - </w:t>
      </w:r>
      <w:hyperlink r:id="rId6" w:anchor="l994" w:history="1">
        <w:r>
          <w:rPr>
            <w:rStyle w:val="a4"/>
          </w:rPr>
          <w:t>226</w:t>
        </w:r>
      </w:hyperlink>
      <w:r>
        <w:t xml:space="preserve"> УК РФ, судам необходимо устанавливать, являются ли изъятые у него предметы оружием, его основными частями или комплектующими деталями, боеприпасами, взрывчатыми веществами или взрывными устройствами, ответственность за </w:t>
      </w:r>
      <w:bookmarkStart w:id="2" w:name="l73"/>
      <w:bookmarkEnd w:id="2"/>
      <w:r>
        <w:t>незаконный оборот которых предусмотрена указанными статьями Уголовного кодекса Российской Федерации.</w:t>
      </w:r>
      <w:proofErr w:type="gramEnd"/>
      <w:r>
        <w:t xml:space="preserve"> </w:t>
      </w:r>
      <w:r>
        <w:br/>
        <w:t>    </w:t>
      </w:r>
      <w:bookmarkStart w:id="3" w:name="l38"/>
      <w:bookmarkEnd w:id="3"/>
      <w:r>
        <w:t xml:space="preserve">По делам, связанным с оружием и боеприпасами, следует исходить из положений Федерального </w:t>
      </w:r>
      <w:hyperlink r:id="rId7" w:history="1">
        <w:r>
          <w:rPr>
            <w:rStyle w:val="a4"/>
          </w:rPr>
          <w:t>закона</w:t>
        </w:r>
      </w:hyperlink>
      <w:r>
        <w:t xml:space="preserve"> "Об оружии", устанавливающего основные правила регулирования отношений, возникающих в процессе оборота оружия и боеприпасов к нему, права и обязанности участников этих отношений. </w:t>
      </w:r>
      <w:r>
        <w:br/>
        <w:t xml:space="preserve">    При этом следует иметь в виду, что данный Закон регулирует только правоотношения, возникающие при обороте гражданского, служебного, а также боевого ручного стрелкового и </w:t>
      </w:r>
      <w:bookmarkStart w:id="4" w:name="l74"/>
      <w:bookmarkEnd w:id="4"/>
      <w:r>
        <w:t xml:space="preserve">холодного оружия, в то время как уголовный закон предусматривает ответственность за </w:t>
      </w:r>
      <w:bookmarkStart w:id="5" w:name="l39"/>
      <w:bookmarkEnd w:id="5"/>
      <w:r>
        <w:t xml:space="preserve">противоправные </w:t>
      </w:r>
      <w:proofErr w:type="gramStart"/>
      <w:r>
        <w:t>действия</w:t>
      </w:r>
      <w:proofErr w:type="gramEnd"/>
      <w:r>
        <w:t xml:space="preserve"> как с указанными видами оружия, так и с иными видами боевого огнестрельного оружия, находящегося на вооружении в Вооруженных Силах Российской Федерации, других войсках, воинских </w:t>
      </w:r>
      <w:proofErr w:type="gramStart"/>
      <w:r>
        <w:t>формированиях</w:t>
      </w:r>
      <w:proofErr w:type="gramEnd"/>
      <w:r>
        <w:t xml:space="preserve"> и </w:t>
      </w:r>
      <w:r>
        <w:lastRenderedPageBreak/>
        <w:t xml:space="preserve">федеральных органах исполнительной власти, в которых федеральным законом предусмотрена военная служба и на которые действие Федерального </w:t>
      </w:r>
      <w:hyperlink r:id="rId8" w:history="1">
        <w:r>
          <w:rPr>
            <w:rStyle w:val="a4"/>
          </w:rPr>
          <w:t>закона</w:t>
        </w:r>
      </w:hyperlink>
      <w:r>
        <w:t xml:space="preserve"> "Об оружии" не распространяется. </w:t>
      </w:r>
      <w:r>
        <w:br/>
        <w:t xml:space="preserve">    2. В соответствии со </w:t>
      </w:r>
      <w:hyperlink r:id="rId9" w:anchor="l5" w:history="1">
        <w:r>
          <w:rPr>
            <w:rStyle w:val="a4"/>
          </w:rPr>
          <w:t>статьей 1</w:t>
        </w:r>
      </w:hyperlink>
      <w:r>
        <w:t xml:space="preserve"> Федерального закона "Об оружии" под оружием следует </w:t>
      </w:r>
      <w:bookmarkStart w:id="6" w:name="l75"/>
      <w:bookmarkEnd w:id="6"/>
      <w:r>
        <w:t xml:space="preserve">понимать устройства и предметы как отечественного, так и иностранного производства, </w:t>
      </w:r>
      <w:bookmarkStart w:id="7" w:name="l40"/>
      <w:bookmarkEnd w:id="7"/>
      <w:r>
        <w:t xml:space="preserve">конструктивно предназначенные для поражения живой или иной цели. </w:t>
      </w:r>
      <w:r>
        <w:br/>
        <w:t xml:space="preserve">    Применительно к статьям </w:t>
      </w:r>
      <w:hyperlink r:id="rId10" w:anchor="l974" w:history="1">
        <w:r>
          <w:rPr>
            <w:rStyle w:val="a4"/>
          </w:rPr>
          <w:t>222</w:t>
        </w:r>
      </w:hyperlink>
      <w:r>
        <w:t xml:space="preserve"> - </w:t>
      </w:r>
      <w:hyperlink r:id="rId11" w:anchor="l994" w:history="1">
        <w:r>
          <w:rPr>
            <w:rStyle w:val="a4"/>
          </w:rPr>
          <w:t>226</w:t>
        </w:r>
      </w:hyperlink>
      <w:r>
        <w:t xml:space="preserve"> УК РФ под огнестрельным оружием следует понимать все виды боевого, служебного и гражданского оружия, в том числе изготовленные самодельным способом, конструктивно предназначенные для поражения цели на расстоянии снарядом, получающим направленное движение за счет энергии порохового или иного заряда. К ним относятся винтовки, карабины, пистолеты и револьверы, охотничьи и спортивные ружья, </w:t>
      </w:r>
      <w:bookmarkStart w:id="8" w:name="l41"/>
      <w:bookmarkEnd w:id="8"/>
      <w:r>
        <w:t>автоматы и пулеметы, минометы, гранатометы, артиллерийские орудия и авиационные пушки, а также иные виды огнестрельного оружия независимо от калибра</w:t>
      </w:r>
      <w:proofErr w:type="gramStart"/>
      <w:r>
        <w:t>.</w:t>
      </w:r>
      <w:proofErr w:type="gramEnd"/>
      <w:r>
        <w:t xml:space="preserve"> </w:t>
      </w:r>
      <w:r>
        <w:br/>
        <w:t>    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12" w:anchor="l171" w:history="1">
        <w:r>
          <w:rPr>
            <w:rStyle w:val="a4"/>
          </w:rPr>
          <w:t>от 06.02.2007 N 7</w:t>
        </w:r>
      </w:hyperlink>
      <w:r>
        <w:t>)</w:t>
      </w:r>
      <w:r>
        <w:br/>
        <w:t xml:space="preserve">    Под основными частями огнестрельного оружия следует понимать ствол, затвор, барабан, рамку, ствольную коробку, ударно-спусковой и запирающий механизмы. </w:t>
      </w:r>
      <w:r>
        <w:br/>
        <w:t xml:space="preserve">    (в ред. Постановления Пленума Верховного Суда РФ </w:t>
      </w:r>
      <w:hyperlink r:id="rId13" w:anchor="l171" w:history="1">
        <w:r>
          <w:rPr>
            <w:rStyle w:val="a4"/>
          </w:rPr>
          <w:t>от 06.02.2007 N 7</w:t>
        </w:r>
      </w:hyperlink>
      <w:r>
        <w:t>)</w:t>
      </w:r>
      <w:r>
        <w:br/>
        <w:t xml:space="preserve">    Под комплектующими деталями огнестрельного оружия применительно к статьям </w:t>
      </w:r>
      <w:hyperlink r:id="rId14" w:anchor="l982" w:history="1">
        <w:r>
          <w:rPr>
            <w:rStyle w:val="a4"/>
          </w:rPr>
          <w:t>223</w:t>
        </w:r>
      </w:hyperlink>
      <w:bookmarkStart w:id="9" w:name="l106"/>
      <w:bookmarkEnd w:id="9"/>
      <w:r>
        <w:t xml:space="preserve"> и </w:t>
      </w:r>
      <w:hyperlink r:id="rId15" w:anchor="l994" w:history="1">
        <w:r>
          <w:rPr>
            <w:rStyle w:val="a4"/>
          </w:rPr>
          <w:t>226</w:t>
        </w:r>
      </w:hyperlink>
      <w:r>
        <w:t xml:space="preserve"> УК РФ следует понимать как основные части огнестрельного оружия, так и иные детали, </w:t>
      </w:r>
      <w:bookmarkStart w:id="10" w:name="l76"/>
      <w:bookmarkEnd w:id="10"/>
      <w:r>
        <w:t xml:space="preserve">конструктивно предназначенные обеспечивать нормальное функционирование конкретного </w:t>
      </w:r>
      <w:bookmarkStart w:id="11" w:name="l42"/>
      <w:bookmarkEnd w:id="11"/>
      <w:r>
        <w:t>образца огнестрельного оружия (станины, прицелы и т.п.)</w:t>
      </w:r>
      <w:proofErr w:type="gramStart"/>
      <w:r>
        <w:t>.</w:t>
      </w:r>
      <w:proofErr w:type="gramEnd"/>
      <w:r>
        <w:t xml:space="preserve"> </w:t>
      </w:r>
      <w:r>
        <w:br/>
        <w:t>    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16" w:anchor="l171" w:history="1">
        <w:r>
          <w:rPr>
            <w:rStyle w:val="a4"/>
          </w:rPr>
          <w:t>от 06.02.2007 N 7</w:t>
        </w:r>
      </w:hyperlink>
      <w:r>
        <w:t>)</w:t>
      </w:r>
      <w:r>
        <w:br/>
        <w:t xml:space="preserve">    Пневматическое оружие, сигнальные, стартовые, строительно-монтажные пистолеты и револьверы, электрошоковые устройства, предметы, сертифицированные в качестве изделий хозяйственно-бытового и производственного назначения, спортивные снаряды, конструктивно сходные с оружием, не относятся к оружию, ответственность за противоправные действия с которым предусмотрена статьями </w:t>
      </w:r>
      <w:hyperlink r:id="rId17" w:anchor="l974" w:history="1">
        <w:r>
          <w:rPr>
            <w:rStyle w:val="a4"/>
          </w:rPr>
          <w:t>222</w:t>
        </w:r>
      </w:hyperlink>
      <w:r>
        <w:t xml:space="preserve"> - </w:t>
      </w:r>
      <w:hyperlink r:id="rId18" w:anchor="l994" w:history="1">
        <w:r>
          <w:rPr>
            <w:rStyle w:val="a4"/>
          </w:rPr>
          <w:t>226</w:t>
        </w:r>
      </w:hyperlink>
      <w:r>
        <w:t xml:space="preserve"> </w:t>
      </w:r>
      <w:bookmarkStart w:id="12" w:name="l107"/>
      <w:bookmarkEnd w:id="12"/>
      <w:r>
        <w:t>УК РФ</w:t>
      </w:r>
      <w:proofErr w:type="gramStart"/>
      <w:r>
        <w:t>.</w:t>
      </w:r>
      <w:proofErr w:type="gramEnd"/>
      <w:r>
        <w:t xml:space="preserve"> </w:t>
      </w:r>
      <w:r>
        <w:br/>
        <w:t>    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19" w:anchor="l171" w:history="1">
        <w:r>
          <w:rPr>
            <w:rStyle w:val="a4"/>
          </w:rPr>
          <w:t>от 06.02.2007 N 7</w:t>
        </w:r>
      </w:hyperlink>
      <w:r>
        <w:t>)</w:t>
      </w:r>
      <w:r>
        <w:br/>
        <w:t xml:space="preserve">    3. Следует учитывать, что гражданское гладкоствольное оружие, его основные части и боеприпасы к нему исключены из круга предметов преступлений, ответственность за совершение которых предусмотрена лишь </w:t>
      </w:r>
      <w:hyperlink r:id="rId20" w:anchor="l974" w:history="1">
        <w:r>
          <w:rPr>
            <w:rStyle w:val="a4"/>
          </w:rPr>
          <w:t>статьей 222</w:t>
        </w:r>
      </w:hyperlink>
      <w:r>
        <w:t xml:space="preserve"> УК РФ. Статьи </w:t>
      </w:r>
      <w:hyperlink r:id="rId21" w:anchor="l982" w:history="1">
        <w:r>
          <w:rPr>
            <w:rStyle w:val="a4"/>
          </w:rPr>
          <w:t>223</w:t>
        </w:r>
      </w:hyperlink>
      <w:r>
        <w:t xml:space="preserve"> - </w:t>
      </w:r>
      <w:hyperlink r:id="rId22" w:anchor="l7537" w:history="1">
        <w:r>
          <w:rPr>
            <w:rStyle w:val="a4"/>
          </w:rPr>
          <w:t>226</w:t>
        </w:r>
      </w:hyperlink>
      <w:r>
        <w:t xml:space="preserve"> УК РФ такого исключения не содержат</w:t>
      </w:r>
      <w:proofErr w:type="gramStart"/>
      <w:r>
        <w:t>.</w:t>
      </w:r>
      <w:proofErr w:type="gramEnd"/>
      <w:r>
        <w:br/>
        <w:t>    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23" w:anchor="l171" w:history="1">
        <w:r>
          <w:rPr>
            <w:rStyle w:val="a4"/>
          </w:rPr>
          <w:t>от 06.02.2007 N 7</w:t>
        </w:r>
      </w:hyperlink>
      <w:r>
        <w:t>)</w:t>
      </w:r>
      <w:r>
        <w:br/>
        <w:t>    </w:t>
      </w:r>
      <w:bookmarkStart w:id="13" w:name="l77"/>
      <w:bookmarkEnd w:id="13"/>
      <w:r>
        <w:t xml:space="preserve">4. Под боеприпасами следует понимать предметы вооружения и метаемое снаряжение как </w:t>
      </w:r>
      <w:bookmarkStart w:id="14" w:name="l43"/>
      <w:bookmarkEnd w:id="14"/>
      <w:r>
        <w:t xml:space="preserve">отечественного, так и иностранного производства, предназначенные для поражения цели и содержащие разрывной, </w:t>
      </w:r>
      <w:proofErr w:type="gramStart"/>
      <w:r>
        <w:t>метательный</w:t>
      </w:r>
      <w:proofErr w:type="gramEnd"/>
      <w:r>
        <w:t xml:space="preserve"> или </w:t>
      </w:r>
      <w:proofErr w:type="spellStart"/>
      <w:r>
        <w:t>вышибной</w:t>
      </w:r>
      <w:proofErr w:type="spellEnd"/>
      <w:r>
        <w:t xml:space="preserve"> заряды либо их сочетание. </w:t>
      </w:r>
      <w:r>
        <w:br/>
        <w:t>    </w:t>
      </w:r>
      <w:proofErr w:type="gramStart"/>
      <w:r>
        <w:t xml:space="preserve">К категории боеприпасов относятся артиллерийские снаряды и мины, военно-инженерные подрывные заряды и мины, ручные и реактивные противотанковые гранаты, боевые ракеты, авиабомбы и т.п., независимо от наличия или отсутствия у них средств для инициирования взрыва, предназначенные для поражения целей, а также все виды патронов к огнестрельному </w:t>
      </w:r>
      <w:bookmarkStart w:id="15" w:name="l78"/>
      <w:bookmarkEnd w:id="15"/>
      <w:r>
        <w:t>оружию, независимо от калибра, изготовленные промышленным или самодельным способом.</w:t>
      </w:r>
      <w:proofErr w:type="gramEnd"/>
      <w:r>
        <w:t xml:space="preserve"> </w:t>
      </w:r>
      <w:r>
        <w:br/>
        <w:t>    </w:t>
      </w:r>
      <w:bookmarkStart w:id="16" w:name="l44"/>
      <w:bookmarkEnd w:id="16"/>
      <w:r>
        <w:t xml:space="preserve">Сигнальные, осветительные, холостые, строительные, газовые, учебные и иные патроны, не имеющие поражающего элемента (снаряда, пули, дроби, картечи и т.п.) и не предназначенные для поражения цели, не относятся к боеприпасам, взрывчатым веществам и взрывным устройствам. </w:t>
      </w:r>
      <w:r>
        <w:br/>
        <w:t xml:space="preserve">    5. Под взрывчатыми веществами следует понимать химические соединения или механические смеси веществ, способные к быстрому </w:t>
      </w:r>
      <w:proofErr w:type="spellStart"/>
      <w:r>
        <w:t>самораспространяющемуся</w:t>
      </w:r>
      <w:proofErr w:type="spellEnd"/>
      <w:r>
        <w:t xml:space="preserve"> химическому превращению, </w:t>
      </w:r>
      <w:bookmarkStart w:id="17" w:name="l79"/>
      <w:bookmarkEnd w:id="17"/>
      <w:r>
        <w:t xml:space="preserve">взрыву без доступа кислорода воздуха. К ним относятся тротил, аммониты, пластиты, </w:t>
      </w:r>
      <w:proofErr w:type="spellStart"/>
      <w:r>
        <w:t>эластиты</w:t>
      </w:r>
      <w:proofErr w:type="spellEnd"/>
      <w:r>
        <w:t xml:space="preserve">, порох, твердое ракетное топливо и т.п. </w:t>
      </w:r>
      <w:r>
        <w:br/>
        <w:t>    </w:t>
      </w:r>
      <w:bookmarkStart w:id="18" w:name="l45"/>
      <w:bookmarkEnd w:id="18"/>
      <w:r>
        <w:t xml:space="preserve">Под взрывными устройствами следует понимать промышленные или самодельные </w:t>
      </w:r>
      <w:r>
        <w:lastRenderedPageBreak/>
        <w:t xml:space="preserve">изделия, функционально объединяющие взрывчатое вещество и приспособление для инициирования взрыва (запал, взрыватель, детонатор и т.п.). </w:t>
      </w:r>
      <w:r>
        <w:br/>
        <w:t xml:space="preserve">    Имитационно-пиротехнические и осветительные средства не относятся к взрывчатым веществам и взрывным устройствам. </w:t>
      </w:r>
      <w:r>
        <w:br/>
        <w:t xml:space="preserve">    6. Под холодным оружием следует понимать изготовленные промышленным или самодельным способом: </w:t>
      </w:r>
      <w:r>
        <w:br/>
        <w:t xml:space="preserve">    предметы, предназначенные для поражения цели при помощи мускульной силы человека при </w:t>
      </w:r>
      <w:bookmarkStart w:id="19" w:name="l80"/>
      <w:bookmarkEnd w:id="19"/>
      <w:r>
        <w:t xml:space="preserve">непосредственном контакте с объектом поражения, которые включают в себя холодное </w:t>
      </w:r>
      <w:bookmarkStart w:id="20" w:name="l46"/>
      <w:bookmarkEnd w:id="20"/>
      <w:r>
        <w:t xml:space="preserve">клинковое оружие (кинжалы; боевые, национальные, охотничьи ножи, являющиеся оружием; штыки-ножи; сабли; шашки; </w:t>
      </w:r>
      <w:proofErr w:type="gramStart"/>
      <w:r>
        <w:t xml:space="preserve">мечи и т.п.), иное оружие режущего, колющего, рубящего или смешанного действия (штыки, копья, боевые топоры и т.п.), а также оружие ударно-дробящего действия (кастеты, </w:t>
      </w:r>
      <w:proofErr w:type="spellStart"/>
      <w:r>
        <w:t>нунчаки</w:t>
      </w:r>
      <w:proofErr w:type="spellEnd"/>
      <w:r>
        <w:t>, кистени и т.п.);</w:t>
      </w:r>
      <w:proofErr w:type="gramEnd"/>
      <w:r>
        <w:t xml:space="preserve"> </w:t>
      </w:r>
      <w:r>
        <w:br/>
        <w:t xml:space="preserve">    предметы, предназначенные для поражения цели на расстоянии снарядом, получающим направленное движение при помощи мускульной силы человека (метательные ножи и топоры, </w:t>
      </w:r>
      <w:bookmarkStart w:id="21" w:name="l81"/>
      <w:bookmarkEnd w:id="21"/>
      <w:r>
        <w:t xml:space="preserve">дротики и т.п.) либо механического устройства (луки, арбалеты и т.п.). </w:t>
      </w:r>
      <w:r>
        <w:br/>
        <w:t>    </w:t>
      </w:r>
      <w:bookmarkStart w:id="22" w:name="l47"/>
      <w:bookmarkEnd w:id="22"/>
      <w:r>
        <w:t xml:space="preserve">7. В тех случаях, когда для решения вопроса о том, являются ли оружием, боеприпасами, взрывчатыми веществами или взрывными устройствами предметы, которые лицо незаконно носило, хранило, приобрело, изготовило, сбыло или похитило, требуются специальные познания, по делу необходимо проведение экспертизы. </w:t>
      </w:r>
      <w:r>
        <w:br/>
        <w:t xml:space="preserve">    8. При рассмотрении дел о нарушениях правил оборота оружия и боеприпасов необходимо иметь в виду, что неправомерные действия лица могут содержать одновременно признаки </w:t>
      </w:r>
      <w:bookmarkStart w:id="23" w:name="l82"/>
      <w:bookmarkEnd w:id="23"/>
      <w:proofErr w:type="gramStart"/>
      <w:r>
        <w:t>состава</w:t>
      </w:r>
      <w:proofErr w:type="gramEnd"/>
      <w:r>
        <w:t xml:space="preserve"> как административного правонарушения, так и преступления, в связи с чем необходимо </w:t>
      </w:r>
      <w:bookmarkStart w:id="24" w:name="l48"/>
      <w:bookmarkEnd w:id="24"/>
      <w:r>
        <w:t xml:space="preserve">отграничивать виды ответственности владельцев оружия. </w:t>
      </w:r>
      <w:r>
        <w:br/>
        <w:t xml:space="preserve">    При этом в случаях, когда допущенное лицом административное правонарушение (например, нарушение правил хранения или ношения оружия и боеприпасов, их продажи, несвоевременная регистрация и перерегистрация оружия и т.п.) содержит также признаки уголовно наказуемого деяния, указанное лицо может быть привлечено лишь к административной ответственности. Судам следует также иметь в виду, что виновные лица привлекаются к административной </w:t>
      </w:r>
      <w:bookmarkStart w:id="25" w:name="l49"/>
      <w:bookmarkEnd w:id="25"/>
      <w:r>
        <w:t xml:space="preserve">ответственности за нарушение установленных правил ношения, изготовления, продажу или передачу пневматического оружия с дульной энергией более 7,5 джоуля и калибра 4,5 миллиметра, оборот которого Федеральным </w:t>
      </w:r>
      <w:hyperlink r:id="rId24" w:anchor="l41" w:history="1">
        <w:r>
          <w:rPr>
            <w:rStyle w:val="a4"/>
          </w:rPr>
          <w:t>законом</w:t>
        </w:r>
      </w:hyperlink>
      <w:r>
        <w:t xml:space="preserve"> "Об оружии" запрещен. </w:t>
      </w:r>
      <w:r>
        <w:br/>
        <w:t xml:space="preserve">    9. Основным признаком газового оружия является его предназначение для временного поражения цели, в качестве которой может выступать человек или животное, путем применения токсических веществ, оказывающих слезоточивое, раздражающее либо иное воздействие. </w:t>
      </w:r>
      <w:r>
        <w:br/>
        <w:t>    </w:t>
      </w:r>
      <w:bookmarkStart w:id="26" w:name="l83"/>
      <w:bookmarkEnd w:id="26"/>
      <w:r>
        <w:t xml:space="preserve">Для приобретения и хранения газового оружия в виде пистолетов и револьверов необходимо </w:t>
      </w:r>
      <w:bookmarkStart w:id="27" w:name="l50"/>
      <w:bookmarkEnd w:id="27"/>
      <w:r>
        <w:t xml:space="preserve">получение лицензии. Механические распылители, аэрозольные и другие устройства, снаряженные слезоточивыми и раздражающими веществами, также относятся к газовому оружию, но могут приобретаться свободно. </w:t>
      </w:r>
      <w:r>
        <w:br/>
        <w:t xml:space="preserve">    Виновные лица могут привлекаться к уголовной ответственности на основании части четвертой </w:t>
      </w:r>
      <w:hyperlink r:id="rId25" w:anchor="l974" w:history="1">
        <w:r>
          <w:rPr>
            <w:rStyle w:val="a4"/>
          </w:rPr>
          <w:t>статьи 222</w:t>
        </w:r>
      </w:hyperlink>
      <w:r>
        <w:t xml:space="preserve"> и части четвертой </w:t>
      </w:r>
      <w:hyperlink r:id="rId26" w:anchor="l982" w:history="1">
        <w:r>
          <w:rPr>
            <w:rStyle w:val="a4"/>
          </w:rPr>
          <w:t>статьи 223</w:t>
        </w:r>
      </w:hyperlink>
      <w:r>
        <w:t xml:space="preserve"> УК РФ за незаконные сбыт или изготовление газового оружия, снаряженного </w:t>
      </w:r>
      <w:proofErr w:type="spellStart"/>
      <w:r>
        <w:t>нервно-паралитическими</w:t>
      </w:r>
      <w:proofErr w:type="spellEnd"/>
      <w:r>
        <w:t xml:space="preserve">, </w:t>
      </w:r>
      <w:bookmarkStart w:id="28" w:name="l84"/>
      <w:bookmarkEnd w:id="28"/>
      <w:r>
        <w:t xml:space="preserve">отравляющими или иными веществами, способными причинить вред здоровью, оборот которого запрещен Федеральным </w:t>
      </w:r>
      <w:hyperlink r:id="rId27" w:anchor="l41" w:history="1">
        <w:r>
          <w:rPr>
            <w:rStyle w:val="a4"/>
          </w:rPr>
          <w:t>законом</w:t>
        </w:r>
      </w:hyperlink>
      <w:r>
        <w:t xml:space="preserve"> "Об оружии"</w:t>
      </w:r>
      <w:proofErr w:type="gramStart"/>
      <w:r>
        <w:t>.</w:t>
      </w:r>
      <w:proofErr w:type="gramEnd"/>
      <w:r>
        <w:t xml:space="preserve"> </w:t>
      </w:r>
      <w:r>
        <w:br/>
        <w:t>    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28" w:anchor="l171" w:history="1">
        <w:r>
          <w:rPr>
            <w:rStyle w:val="a4"/>
          </w:rPr>
          <w:t>от 06.02.2007 N 7</w:t>
        </w:r>
      </w:hyperlink>
      <w:r>
        <w:t>)</w:t>
      </w:r>
      <w:r>
        <w:br/>
        <w:t>    </w:t>
      </w:r>
      <w:bookmarkStart w:id="29" w:name="l51"/>
      <w:bookmarkEnd w:id="29"/>
      <w:r>
        <w:t xml:space="preserve">10. Судам необходимо учитывать, что правила оборота каждого вида оружия и боеприпасов определены помимо закона соответствующими постановлениями Правительства Российской Федерации и ведомственными нормативными правовыми актами, в </w:t>
      </w:r>
      <w:proofErr w:type="gramStart"/>
      <w:r>
        <w:t>связи</w:t>
      </w:r>
      <w:proofErr w:type="gramEnd"/>
      <w:r>
        <w:t xml:space="preserve"> с чем при решении вопроса о привлечении к ответственности за преступления, предусмотренные статьями </w:t>
      </w:r>
      <w:hyperlink r:id="rId29" w:anchor="l974" w:history="1">
        <w:r>
          <w:rPr>
            <w:rStyle w:val="a4"/>
          </w:rPr>
          <w:t>222</w:t>
        </w:r>
      </w:hyperlink>
      <w:r>
        <w:t xml:space="preserve"> - </w:t>
      </w:r>
      <w:hyperlink r:id="rId30" w:anchor="l989" w:history="1">
        <w:r>
          <w:rPr>
            <w:rStyle w:val="a4"/>
          </w:rPr>
          <w:t>225</w:t>
        </w:r>
      </w:hyperlink>
      <w:r>
        <w:t xml:space="preserve"> УК РФ, необходимо устанавливать и </w:t>
      </w:r>
      <w:r>
        <w:lastRenderedPageBreak/>
        <w:t xml:space="preserve">указывать в приговоре, какие правила были нарушены. </w:t>
      </w:r>
      <w:r>
        <w:br/>
        <w:t>    </w:t>
      </w:r>
      <w:bookmarkStart w:id="30" w:name="l85"/>
      <w:bookmarkEnd w:id="30"/>
      <w:r>
        <w:t xml:space="preserve">При возникновении трудностей в решении вопроса об отнесении конкретных образцов оружия, </w:t>
      </w:r>
      <w:bookmarkStart w:id="31" w:name="l52"/>
      <w:bookmarkEnd w:id="31"/>
      <w:r>
        <w:t xml:space="preserve">патронов и боеприпасов к тому или иному виду необходимо назначать экспертизу для определения тактико-технических характеристик данных образцов. </w:t>
      </w:r>
      <w:r>
        <w:br/>
        <w:t xml:space="preserve">    Если указанные трудности обусловлены не техническими причинами, а являются следствием противоречий между законодательными актами Российской Федерации и нормами международного права, определяющими критерии разграничения видов оружия, то в соответствии с частью четвертой </w:t>
      </w:r>
      <w:hyperlink r:id="rId31" w:anchor="l31" w:history="1">
        <w:r>
          <w:rPr>
            <w:rStyle w:val="a4"/>
          </w:rPr>
          <w:t>статьи 15</w:t>
        </w:r>
      </w:hyperlink>
      <w:r>
        <w:t xml:space="preserve"> Конституции Российской Федерации следует </w:t>
      </w:r>
      <w:bookmarkStart w:id="32" w:name="l86"/>
      <w:bookmarkEnd w:id="32"/>
      <w:r>
        <w:t xml:space="preserve">руководствоваться нормами международного права. </w:t>
      </w:r>
      <w:r>
        <w:br/>
        <w:t>    </w:t>
      </w:r>
      <w:bookmarkStart w:id="33" w:name="l53"/>
      <w:bookmarkEnd w:id="33"/>
      <w:proofErr w:type="gramStart"/>
      <w:r>
        <w:t xml:space="preserve">При установлении вида оружия по правилам статей </w:t>
      </w:r>
      <w:hyperlink r:id="rId32" w:anchor="l15" w:history="1">
        <w:r>
          <w:rPr>
            <w:rStyle w:val="a4"/>
          </w:rPr>
          <w:t>2</w:t>
        </w:r>
      </w:hyperlink>
      <w:r>
        <w:t xml:space="preserve"> - </w:t>
      </w:r>
      <w:hyperlink r:id="rId33" w:anchor="l33" w:history="1">
        <w:r>
          <w:rPr>
            <w:rStyle w:val="a4"/>
          </w:rPr>
          <w:t>5</w:t>
        </w:r>
      </w:hyperlink>
      <w:r>
        <w:t xml:space="preserve"> Федерального закона "Об оружии" судам необходимо иметь в виду, что принятие государственными военизированными организациями на вооружение гражданского или служебного оружия и патронов к нему, соответствующих требованиям статей </w:t>
      </w:r>
      <w:hyperlink r:id="rId34" w:anchor="l17" w:history="1">
        <w:r>
          <w:rPr>
            <w:rStyle w:val="a4"/>
          </w:rPr>
          <w:t>3, 4</w:t>
        </w:r>
      </w:hyperlink>
      <w:r>
        <w:t xml:space="preserve">, </w:t>
      </w:r>
      <w:hyperlink r:id="rId35" w:anchor="l41" w:history="1">
        <w:r>
          <w:rPr>
            <w:rStyle w:val="a4"/>
          </w:rPr>
          <w:t>6</w:t>
        </w:r>
      </w:hyperlink>
      <w:r>
        <w:t xml:space="preserve"> Федерального закона "Об оружии" и сертифицированных в соответствии со </w:t>
      </w:r>
      <w:hyperlink r:id="rId36" w:anchor="l58" w:history="1">
        <w:r>
          <w:rPr>
            <w:rStyle w:val="a4"/>
          </w:rPr>
          <w:t>статьей 7</w:t>
        </w:r>
      </w:hyperlink>
      <w:r>
        <w:t xml:space="preserve"> данного Закона, не является достаточным основанием для того, чтобы расценивать</w:t>
      </w:r>
      <w:proofErr w:type="gramEnd"/>
      <w:r>
        <w:t xml:space="preserve"> это гражданское или служебное оружие и патроны как </w:t>
      </w:r>
      <w:bookmarkStart w:id="34" w:name="l87"/>
      <w:bookmarkEnd w:id="34"/>
      <w:r>
        <w:t xml:space="preserve">боевые и привлекать лицо к ответственности за нарушение правил оборота боевого оружия. </w:t>
      </w:r>
      <w:r>
        <w:br/>
        <w:t>    </w:t>
      </w:r>
      <w:bookmarkStart w:id="35" w:name="l54"/>
      <w:bookmarkEnd w:id="35"/>
      <w:r w:rsidRPr="00015E33">
        <w:rPr>
          <w:color w:val="00B0F0"/>
        </w:rPr>
        <w:t>11. Под незаконным ношением огнестрельного оружия, его основных частей, боеприпасов, взрывчатых веществ или взрывных устрой</w:t>
      </w:r>
      <w:proofErr w:type="gramStart"/>
      <w:r w:rsidRPr="00015E33">
        <w:rPr>
          <w:color w:val="00B0F0"/>
        </w:rPr>
        <w:t>ств сл</w:t>
      </w:r>
      <w:proofErr w:type="gramEnd"/>
      <w:r w:rsidRPr="00015E33">
        <w:rPr>
          <w:color w:val="00B0F0"/>
        </w:rPr>
        <w:t xml:space="preserve">едует понимать нахождение их в одежде или непосредственно на теле обвиняемого, а равно переноску в сумке, портфеле и т.п. предметах. </w:t>
      </w:r>
      <w:r w:rsidRPr="00015E33">
        <w:rPr>
          <w:color w:val="00B0F0"/>
        </w:rPr>
        <w:br/>
      </w:r>
      <w:r>
        <w:t>    Под незаконным хранением огнестрельного оружия, его основных частей, боеприпасов, взрывчатых веществ или взрывных устрой</w:t>
      </w:r>
      <w:proofErr w:type="gramStart"/>
      <w:r>
        <w:t>ств сл</w:t>
      </w:r>
      <w:proofErr w:type="gramEnd"/>
      <w:r>
        <w:t xml:space="preserve">едует понимать сокрытие указанных предметов в помещениях, тайниках, а также в иных местах, обеспечивающих их сохранность. </w:t>
      </w:r>
      <w:r>
        <w:br/>
      </w:r>
      <w:r w:rsidRPr="00015E33">
        <w:rPr>
          <w:color w:val="FF0000"/>
        </w:rPr>
        <w:t>    </w:t>
      </w:r>
      <w:bookmarkStart w:id="36" w:name="l88"/>
      <w:bookmarkEnd w:id="36"/>
      <w:r w:rsidRPr="00015E33">
        <w:rPr>
          <w:color w:val="FF0000"/>
        </w:rPr>
        <w:t xml:space="preserve">Под незаконной перевозкой этих же предметов следует понимать их перемещение на любом </w:t>
      </w:r>
      <w:bookmarkStart w:id="37" w:name="l55"/>
      <w:bookmarkEnd w:id="37"/>
      <w:r w:rsidRPr="00015E33">
        <w:rPr>
          <w:color w:val="FF0000"/>
        </w:rPr>
        <w:t>виде транспорта, но не непосредственно при обвиняемом</w:t>
      </w:r>
      <w:r>
        <w:t xml:space="preserve">. </w:t>
      </w:r>
      <w:r>
        <w:br/>
        <w:t xml:space="preserve">    Под незаконным приобретением этих же предметов следует понимать их покупку, получение в дар или в уплату долга, в обмен на товары и вещи, присвоение найденного и т.п., а также незаконное временное завладение оружием в преступных либо иных целях, когда в действиях виновного не установлено признаков его хищения. </w:t>
      </w:r>
      <w:r>
        <w:br/>
        <w:t>    </w:t>
      </w:r>
      <w:proofErr w:type="gramStart"/>
      <w:r>
        <w:t xml:space="preserve">Под незаконным изготовлением огнестрельного оружия, комплектующих деталей к нему, </w:t>
      </w:r>
      <w:bookmarkStart w:id="38" w:name="l89"/>
      <w:bookmarkEnd w:id="38"/>
      <w:r>
        <w:t xml:space="preserve">боеприпасов, взрывчатых веществ или взрывных устройств, влекущим уголовную </w:t>
      </w:r>
      <w:bookmarkStart w:id="39" w:name="l56"/>
      <w:bookmarkEnd w:id="39"/>
      <w:r>
        <w:t>ответственность, следует понимать их создание без полученной в установленном порядке лицензии или восстановление утраченных поражающих свойств, а также переделку каких-либо предметов (например, ракетниц, газовых, пневматических, стартовых и строительно-монтажных пистолетов, предметов бытового назначения или спортивного инвентаря), в результате чего они приобретают свойства огнестрельного, газового</w:t>
      </w:r>
      <w:proofErr w:type="gramEnd"/>
      <w:r>
        <w:t xml:space="preserve"> или холодного оружия, боеприпасов, </w:t>
      </w:r>
      <w:bookmarkStart w:id="40" w:name="l90"/>
      <w:bookmarkEnd w:id="40"/>
      <w:r>
        <w:t xml:space="preserve">взрывчатых веществ или взрывных устройств. При квалификации последующих незаконных действий с изготовленным оружием (боеприпасами) необходимо исходить из тех </w:t>
      </w:r>
      <w:bookmarkStart w:id="41" w:name="l57"/>
      <w:bookmarkEnd w:id="41"/>
      <w:r>
        <w:t xml:space="preserve">тактико-технических характеристик, которыми стало реально обладать переделанное виновным оружие, а не те предметы, которые подверглись переделке. </w:t>
      </w:r>
      <w:r>
        <w:br/>
        <w:t>    Под незаконной передачей оружия, его основных частей, боеприпасов, взрывчатых веществ или взрывных устрой</w:t>
      </w:r>
      <w:proofErr w:type="gramStart"/>
      <w:r>
        <w:t>ств сл</w:t>
      </w:r>
      <w:proofErr w:type="gramEnd"/>
      <w:r>
        <w:t xml:space="preserve">едует понимать их незаконное предоставление лицами, у которых они находятся, посторонним лицам для временного использования или хранения. </w:t>
      </w:r>
      <w:r>
        <w:br/>
        <w:t xml:space="preserve">    Под незаконным сбытом указанных предметов следует понимать их безвозвратное (в отличие </w:t>
      </w:r>
      <w:bookmarkStart w:id="42" w:name="l91"/>
      <w:bookmarkEnd w:id="42"/>
      <w:r>
        <w:t xml:space="preserve">от незаконной передачи) отчуждение в собственность иных лиц в результате совершения </w:t>
      </w:r>
      <w:bookmarkStart w:id="43" w:name="l58"/>
      <w:bookmarkEnd w:id="43"/>
      <w:r>
        <w:t xml:space="preserve">какой-либо противоправной сделки (возмездной или безвозмездной), т.е. продажу, дарение, обмен и т.п. </w:t>
      </w:r>
      <w:r>
        <w:br/>
        <w:t xml:space="preserve">    Как оконченное преступление по </w:t>
      </w:r>
      <w:hyperlink r:id="rId37" w:anchor="l974" w:history="1">
        <w:r>
          <w:rPr>
            <w:rStyle w:val="a4"/>
          </w:rPr>
          <w:t>статье 222</w:t>
        </w:r>
      </w:hyperlink>
      <w:r>
        <w:t xml:space="preserve"> УК РФ надлежит квалифицировать </w:t>
      </w:r>
      <w:r>
        <w:lastRenderedPageBreak/>
        <w:t xml:space="preserve">незаконные приобретение, передачу, сбыт, хранение, перевозку или ношение одной либо нескольких основных частей огнестрельного оружия. </w:t>
      </w:r>
      <w:r>
        <w:br/>
        <w:t>    </w:t>
      </w:r>
      <w:proofErr w:type="gramStart"/>
      <w:r>
        <w:t xml:space="preserve">Не является уголовно наказуемым оборот комплектующих деталей и составных частей оружия и патронов, осуществляемый в ходе производственного процесса между смежными </w:t>
      </w:r>
      <w:bookmarkStart w:id="44" w:name="l92"/>
      <w:bookmarkEnd w:id="44"/>
      <w:r>
        <w:t xml:space="preserve">предприятиями, занимающимися производством оружия для поставок государственным </w:t>
      </w:r>
      <w:bookmarkStart w:id="45" w:name="l59"/>
      <w:bookmarkEnd w:id="45"/>
      <w:r>
        <w:t xml:space="preserve">военизированным организациям или его изготовлением и поставками только для экспорта с соблюдением правил, установленных </w:t>
      </w:r>
      <w:hyperlink r:id="rId38" w:anchor="l154" w:history="1">
        <w:r>
          <w:rPr>
            <w:rStyle w:val="a4"/>
          </w:rPr>
          <w:t>статьей 16</w:t>
        </w:r>
      </w:hyperlink>
      <w:r>
        <w:t xml:space="preserve"> Федерального закона "Об оружии". </w:t>
      </w:r>
      <w:r>
        <w:br/>
        <w:t>    12.</w:t>
      </w:r>
      <w:proofErr w:type="gramEnd"/>
      <w:r>
        <w:t xml:space="preserve"> </w:t>
      </w:r>
      <w:proofErr w:type="gramStart"/>
      <w:r>
        <w:t xml:space="preserve">Ответственность по статьям </w:t>
      </w:r>
      <w:hyperlink r:id="rId39" w:anchor="l974" w:history="1">
        <w:r>
          <w:rPr>
            <w:rStyle w:val="a4"/>
          </w:rPr>
          <w:t>222</w:t>
        </w:r>
      </w:hyperlink>
      <w:r>
        <w:t xml:space="preserve">, </w:t>
      </w:r>
      <w:hyperlink r:id="rId40" w:anchor="l994" w:history="1">
        <w:r>
          <w:rPr>
            <w:rStyle w:val="a4"/>
          </w:rPr>
          <w:t>226</w:t>
        </w:r>
      </w:hyperlink>
      <w:r>
        <w:t xml:space="preserve"> УК РФ наступает за незаконный оборот, хищение либо вымогательство не только годного к функциональному использованию, но и неисправного либо учебного оружия, если оно содержало пригодные для использования комплектующие детали или если лицо имело цель привести его в пригодное состояние и совершило какие-либо </w:t>
      </w:r>
      <w:bookmarkStart w:id="46" w:name="l93"/>
      <w:bookmarkEnd w:id="46"/>
      <w:r>
        <w:t xml:space="preserve">действия по реализации этого намерения. </w:t>
      </w:r>
      <w:r>
        <w:br/>
        <w:t>    </w:t>
      </w:r>
      <w:bookmarkStart w:id="47" w:name="l60"/>
      <w:bookmarkEnd w:id="47"/>
      <w:r>
        <w:t>13.</w:t>
      </w:r>
      <w:proofErr w:type="gramEnd"/>
      <w:r>
        <w:t xml:space="preserve"> По смыслу закона под оконченным хищением оружия, комплектующих деталей к нему, боеприпасов, взрывчатых веществ или взрывных устрой</w:t>
      </w:r>
      <w:proofErr w:type="gramStart"/>
      <w:r>
        <w:t>ств сл</w:t>
      </w:r>
      <w:proofErr w:type="gramEnd"/>
      <w:r>
        <w:t xml:space="preserve">едует понимать противоправное завладение ими любым способом с намерением лица присвоить похищенное либо передать его другому лицу, а равно распорядиться им по своему усмотрению иным образом. </w:t>
      </w:r>
      <w:r>
        <w:br/>
        <w:t xml:space="preserve">    Уничтожение, оставление на месте преступления или возвращение назад похищенного оружия после его использования для совершения других противоправных действий либо в иных целях не </w:t>
      </w:r>
      <w:bookmarkStart w:id="48" w:name="l94"/>
      <w:bookmarkEnd w:id="48"/>
      <w:r>
        <w:t xml:space="preserve">является основанием для освобождения лица от ответственности за хищение оружия. </w:t>
      </w:r>
      <w:r>
        <w:br/>
        <w:t>    </w:t>
      </w:r>
      <w:bookmarkStart w:id="49" w:name="l61"/>
      <w:bookmarkEnd w:id="49"/>
      <w:r>
        <w:t xml:space="preserve">Уголовная ответственность по </w:t>
      </w:r>
      <w:hyperlink r:id="rId41" w:anchor="l994" w:history="1">
        <w:r>
          <w:rPr>
            <w:rStyle w:val="a4"/>
          </w:rPr>
          <w:t>статье 226</w:t>
        </w:r>
      </w:hyperlink>
      <w:r>
        <w:t xml:space="preserve"> УК РФ наступает в случаях хищения огнестрельного оружия, комплектующих деталей к нему, боеприпасов, взрывчатых веществ или взрывных устройств как из государственных или иных предприятий или организаций, так и у отдельных граждан, владевших ими правомерно либо незаконно. </w:t>
      </w:r>
      <w:r>
        <w:br/>
        <w:t xml:space="preserve">    Хищение составных частей и деталей боеприпасов, содержащих взрывчатые вещества или взрывные устройства (запалы, детонаторы, взрыватели и т.д.), следует квалифицировать по </w:t>
      </w:r>
      <w:bookmarkStart w:id="50" w:name="l95"/>
      <w:bookmarkEnd w:id="50"/>
      <w:r>
        <w:fldChar w:fldCharType="begin"/>
      </w:r>
      <w:r>
        <w:instrText xml:space="preserve"> HYPERLINK "http://www.referent.ru/1/65264?l994" \l "l994" </w:instrText>
      </w:r>
      <w:r>
        <w:fldChar w:fldCharType="separate"/>
      </w:r>
      <w:r>
        <w:rPr>
          <w:rStyle w:val="a4"/>
        </w:rPr>
        <w:t>статье 226</w:t>
      </w:r>
      <w:r>
        <w:fldChar w:fldCharType="end"/>
      </w:r>
      <w:r>
        <w:t xml:space="preserve"> УК РФ как оконченное хищение взрывчатых веществ или взрывных устройств. </w:t>
      </w:r>
      <w:r>
        <w:br/>
        <w:t>    </w:t>
      </w:r>
      <w:bookmarkStart w:id="51" w:name="l62"/>
      <w:bookmarkEnd w:id="51"/>
      <w:r>
        <w:t xml:space="preserve">Если лицо похитило непригодные к функциональному использованию огнестрельное оружие, комплектующие детали к нему, боеприпасы, взрывчатые вещества или взрывные устройства, заблуждаясь относительно их качества и полагая, что они исправны, содеянное следует квалифицировать как покушение на хищение огнестрельного оружия, комплектующих деталей к нему, боеприпасов, взрывчатых веществ или взрывных устройств. </w:t>
      </w:r>
      <w:r>
        <w:br/>
        <w:t>    Пункт 14</w:t>
      </w:r>
      <w:bookmarkStart w:id="52" w:name="l96"/>
      <w:bookmarkStart w:id="53" w:name="l63"/>
      <w:bookmarkStart w:id="54" w:name="l97"/>
      <w:bookmarkStart w:id="55" w:name="l64"/>
      <w:bookmarkEnd w:id="52"/>
      <w:bookmarkEnd w:id="53"/>
      <w:bookmarkEnd w:id="54"/>
      <w:bookmarkEnd w:id="55"/>
      <w:r>
        <w:t xml:space="preserve"> - Исключен</w:t>
      </w:r>
      <w:proofErr w:type="gramStart"/>
      <w:r>
        <w:t>.</w:t>
      </w:r>
      <w:proofErr w:type="gramEnd"/>
      <w:r>
        <w:t xml:space="preserve"> </w:t>
      </w:r>
      <w:r>
        <w:br/>
        <w:t>    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42" w:anchor="l173" w:history="1">
        <w:r>
          <w:rPr>
            <w:rStyle w:val="a4"/>
          </w:rPr>
          <w:t>от 06.02.2007 N 7</w:t>
        </w:r>
      </w:hyperlink>
      <w:r>
        <w:t>)</w:t>
      </w:r>
      <w:r>
        <w:br/>
        <w:t xml:space="preserve">    15. Предусмотренным </w:t>
      </w:r>
      <w:hyperlink r:id="rId43" w:anchor="l994" w:history="1">
        <w:r>
          <w:rPr>
            <w:rStyle w:val="a4"/>
          </w:rPr>
          <w:t>статьей 226</w:t>
        </w:r>
      </w:hyperlink>
      <w:r>
        <w:t xml:space="preserve"> УК </w:t>
      </w:r>
      <w:proofErr w:type="gramStart"/>
      <w:r>
        <w:t>РФ</w:t>
      </w:r>
      <w:proofErr w:type="gramEnd"/>
      <w:r>
        <w:t xml:space="preserve"> квалифицирующим признаком хищением оружия, комплектующих деталей к нему, боеприпасов, взрывчатых веществ или взрывных устройств лицом с использованием своего служебного положения следует считать хищение их как лицом, которое наделено служебными полномочиями, связанными с оборотом оружия, в частности его </w:t>
      </w:r>
      <w:bookmarkStart w:id="56" w:name="l98"/>
      <w:bookmarkEnd w:id="56"/>
      <w:r>
        <w:t xml:space="preserve">использованием, производством, учетом, хранением, передачей, изъятием и т.д., так и лицом, </w:t>
      </w:r>
      <w:bookmarkStart w:id="57" w:name="l65"/>
      <w:bookmarkEnd w:id="57"/>
      <w:r>
        <w:t xml:space="preserve">которому они выданы персонально и на определенное время для выполнения специальных обязанностей (часовым, постовым милиционером, вахтером или инкассатором во время исполнения ими служебных обязанностей и т.п.). </w:t>
      </w:r>
      <w:r>
        <w:br/>
        <w:t xml:space="preserve">    16. </w:t>
      </w:r>
      <w:proofErr w:type="gramStart"/>
      <w:r>
        <w:t xml:space="preserve">Хищение огнестрельного оружия, комплектующих деталей к нему, боеприпасов, взрывчатых веществ или взрывных устройств путем разбойного нападения (пункт "б" части четвертой </w:t>
      </w:r>
      <w:hyperlink r:id="rId44" w:anchor="l994" w:history="1">
        <w:r>
          <w:rPr>
            <w:rStyle w:val="a4"/>
          </w:rPr>
          <w:t>статьи 226</w:t>
        </w:r>
      </w:hyperlink>
      <w:r>
        <w:t xml:space="preserve"> УК РФ) следует считать оконченным с момента нападения с целью </w:t>
      </w:r>
      <w:bookmarkStart w:id="58" w:name="l99"/>
      <w:bookmarkEnd w:id="58"/>
      <w:r>
        <w:t xml:space="preserve">завладения этими предметами, соединенного с насилием, опасным для жизни и здоровья </w:t>
      </w:r>
      <w:bookmarkStart w:id="59" w:name="l66"/>
      <w:bookmarkEnd w:id="59"/>
      <w:r>
        <w:t xml:space="preserve">потерпевшего, или с угрозой применения такого насилия. </w:t>
      </w:r>
      <w:r>
        <w:br/>
      </w:r>
      <w:r>
        <w:lastRenderedPageBreak/>
        <w:t>    17.</w:t>
      </w:r>
      <w:proofErr w:type="gramEnd"/>
      <w:r>
        <w:t xml:space="preserve"> </w:t>
      </w:r>
      <w:proofErr w:type="gramStart"/>
      <w:r>
        <w:t xml:space="preserve">Учитывая, что незаконные приобретение, передача, сбыт, хранение, перевозка или ношение огнестрельного оружия, его основных частей, боеприпасов, взрывчатых веществ или взрывных устройств являются самостоятельными преступлениями, хищение перечисленных предметов и их последующие ношение, хранение или сбыт образуют реальную совокупность преступлений, предусмотренных статьями </w:t>
      </w:r>
      <w:hyperlink r:id="rId45" w:anchor="l994" w:history="1">
        <w:r>
          <w:rPr>
            <w:rStyle w:val="a4"/>
          </w:rPr>
          <w:t>226</w:t>
        </w:r>
      </w:hyperlink>
      <w:r>
        <w:t xml:space="preserve"> и </w:t>
      </w:r>
      <w:hyperlink r:id="rId46" w:anchor="l974" w:history="1">
        <w:r>
          <w:rPr>
            <w:rStyle w:val="a4"/>
          </w:rPr>
          <w:t>222</w:t>
        </w:r>
      </w:hyperlink>
      <w:r>
        <w:t xml:space="preserve"> УК РФ. </w:t>
      </w:r>
      <w:r>
        <w:br/>
        <w:t>    </w:t>
      </w:r>
      <w:bookmarkStart w:id="60" w:name="l100"/>
      <w:bookmarkEnd w:id="60"/>
      <w:r>
        <w:t>18.</w:t>
      </w:r>
      <w:proofErr w:type="gramEnd"/>
      <w:r>
        <w:t xml:space="preserve"> </w:t>
      </w:r>
      <w:proofErr w:type="gramStart"/>
      <w:r>
        <w:t xml:space="preserve">В случаях хищения либо вымогательства огнестрельного оружия, комплектующих деталей к </w:t>
      </w:r>
      <w:bookmarkStart w:id="61" w:name="l67"/>
      <w:bookmarkEnd w:id="61"/>
      <w:r>
        <w:t>нему, боеприпасов, взрывчатых веществ или взрывных устройств, а также их ношения, хранения, приобретения и изготовления с целью совершения другого преступления содеянное должно квалифицироваться как совокупность оконченного хищения либо вымогательства оружия, комплектующих деталей к нему, боеприпасов, взрывчатых веществ или взрывных устройств, незаконного их ношения, хранения, приобретения или изготовления и приготовления к</w:t>
      </w:r>
      <w:proofErr w:type="gramEnd"/>
      <w:r>
        <w:t xml:space="preserve"> совершению иного преступления, если ответственность за это предусмотрена законом</w:t>
      </w:r>
      <w:proofErr w:type="gramStart"/>
      <w:r>
        <w:t>.</w:t>
      </w:r>
      <w:proofErr w:type="gramEnd"/>
      <w:r>
        <w:t xml:space="preserve"> </w:t>
      </w:r>
      <w:r>
        <w:br/>
        <w:t>    </w:t>
      </w:r>
      <w:bookmarkStart w:id="62" w:name="l108"/>
      <w:bookmarkEnd w:id="62"/>
      <w:r>
        <w:t>(</w:t>
      </w:r>
      <w:proofErr w:type="gramStart"/>
      <w:r>
        <w:t>в</w:t>
      </w:r>
      <w:proofErr w:type="gramEnd"/>
      <w:r>
        <w:t xml:space="preserve"> ред. Постановления Пленума Верховного Суда РФ </w:t>
      </w:r>
      <w:hyperlink r:id="rId47" w:anchor="l173" w:history="1">
        <w:r>
          <w:rPr>
            <w:rStyle w:val="a4"/>
          </w:rPr>
          <w:t>от 06.02.2007 N 7</w:t>
        </w:r>
      </w:hyperlink>
      <w:r>
        <w:t>)</w:t>
      </w:r>
      <w:r>
        <w:br/>
        <w:t>    </w:t>
      </w:r>
      <w:bookmarkStart w:id="63" w:name="l101"/>
      <w:bookmarkEnd w:id="63"/>
      <w:r>
        <w:t xml:space="preserve">19. </w:t>
      </w:r>
      <w:proofErr w:type="gramStart"/>
      <w:r>
        <w:t xml:space="preserve">Под добровольной сдачей огнестрельного оружия, его основных частей либо </w:t>
      </w:r>
      <w:bookmarkStart w:id="64" w:name="l68"/>
      <w:bookmarkEnd w:id="64"/>
      <w:r>
        <w:t xml:space="preserve">комплектующих деталей к нему, боеприпасов, взрывчатых веществ или взрывных устройств, предусмотренной примечаниями к статьям </w:t>
      </w:r>
      <w:hyperlink r:id="rId48" w:anchor="l974" w:history="1">
        <w:r>
          <w:rPr>
            <w:rStyle w:val="a4"/>
          </w:rPr>
          <w:t>222</w:t>
        </w:r>
      </w:hyperlink>
      <w:r>
        <w:t xml:space="preserve"> и </w:t>
      </w:r>
      <w:hyperlink r:id="rId49" w:anchor="l982" w:history="1">
        <w:r>
          <w:rPr>
            <w:rStyle w:val="a4"/>
          </w:rPr>
          <w:t>223</w:t>
        </w:r>
      </w:hyperlink>
      <w:r>
        <w:t xml:space="preserve"> УК РФ, следует понимать выдачу лицом указанных предметов по своей воле или сообщение органам власти о месте их нахождения при реальной возможности дальнейшего хранения вышеуказанных предметов.</w:t>
      </w:r>
      <w:proofErr w:type="gramEnd"/>
      <w:r>
        <w:t xml:space="preserve"> </w:t>
      </w:r>
      <w:r>
        <w:br/>
        <w:t xml:space="preserve">    Добровольность сдачи оружия оценивается применительно к конкретным обстоятельствам дела. При этом надлежит иметь в виду, что закон не связывает выдачу с мотивом поведения </w:t>
      </w:r>
      <w:bookmarkStart w:id="65" w:name="l102"/>
      <w:bookmarkEnd w:id="65"/>
      <w:r>
        <w:t xml:space="preserve">лица, а также с обстоятельствами, предшествовавшими ей или повлиявшими на принятое решение. </w:t>
      </w:r>
      <w:r>
        <w:br/>
        <w:t>    </w:t>
      </w:r>
      <w:bookmarkStart w:id="66" w:name="l69"/>
      <w:bookmarkEnd w:id="66"/>
      <w:r>
        <w:t xml:space="preserve">В случае добровольной сдачи указанных предметов лицо освобождается от уголовной ответственности за совершение преступлений, предусмотренных статьями </w:t>
      </w:r>
      <w:hyperlink r:id="rId50" w:anchor="l974" w:history="1">
        <w:r>
          <w:rPr>
            <w:rStyle w:val="a4"/>
          </w:rPr>
          <w:t>222</w:t>
        </w:r>
      </w:hyperlink>
      <w:r>
        <w:t xml:space="preserve"> и </w:t>
      </w:r>
      <w:hyperlink r:id="rId51" w:anchor="l982" w:history="1">
        <w:r>
          <w:rPr>
            <w:rStyle w:val="a4"/>
          </w:rPr>
          <w:t>223</w:t>
        </w:r>
      </w:hyperlink>
      <w:r>
        <w:t xml:space="preserve"> УК РФ, независимо от привлечения его к ответственности за совершение иных преступлений. </w:t>
      </w:r>
      <w:r>
        <w:br/>
        <w:t xml:space="preserve">    20. Дезертирство военнослужащего с оружием, вверенным ему по службе, при отсутствии в его действиях признаков хищения оружия квалифицируется лишь по части второй </w:t>
      </w:r>
      <w:hyperlink r:id="rId52" w:anchor="l1469" w:history="1">
        <w:r>
          <w:rPr>
            <w:rStyle w:val="a4"/>
          </w:rPr>
          <w:t>статьи 338</w:t>
        </w:r>
      </w:hyperlink>
      <w:r>
        <w:t xml:space="preserve"> УК РФ. При наличии в содеянном признаков хищения оружия действия виновного должны </w:t>
      </w:r>
      <w:bookmarkStart w:id="67" w:name="l103"/>
      <w:bookmarkEnd w:id="67"/>
      <w:r>
        <w:t xml:space="preserve">квалифицироваться по совокупности преступлений, предусмотренных </w:t>
      </w:r>
      <w:hyperlink r:id="rId53" w:anchor="l994" w:history="1">
        <w:r>
          <w:rPr>
            <w:rStyle w:val="a4"/>
          </w:rPr>
          <w:t>статьей 226</w:t>
        </w:r>
      </w:hyperlink>
      <w:r>
        <w:t xml:space="preserve"> и частью </w:t>
      </w:r>
      <w:bookmarkStart w:id="68" w:name="l70"/>
      <w:bookmarkEnd w:id="68"/>
      <w:r>
        <w:t xml:space="preserve">второй статьи 338 УК РФ. </w:t>
      </w:r>
      <w:r>
        <w:br/>
        <w:t xml:space="preserve">    21. При оценке степени общественной опасности содеянного и назначении наказания следует учитывать цели и мотивы действий виновного, источник и способ завладения, вид, количество, боевые свойства и стоимость похищенного огнестрельного оружия, боеприпасов, взрывчатых веществ или взрывных устройств. </w:t>
      </w:r>
      <w:r>
        <w:br/>
        <w:t xml:space="preserve">    При назначении наказания за хищение указанных предметов, совершенное с использованием условий общественного бедствия, судам необходимо иметь в виду, что в силу пункта "л" части </w:t>
      </w:r>
      <w:bookmarkStart w:id="69" w:name="l71"/>
      <w:bookmarkEnd w:id="69"/>
      <w:r>
        <w:t xml:space="preserve">первой </w:t>
      </w:r>
      <w:hyperlink r:id="rId54" w:anchor="l224" w:history="1">
        <w:r>
          <w:rPr>
            <w:rStyle w:val="a4"/>
          </w:rPr>
          <w:t>статьи 63</w:t>
        </w:r>
      </w:hyperlink>
      <w:r>
        <w:t xml:space="preserve"> УК РФ эти обстоятельства признаются как отягчающие наказание. </w:t>
      </w:r>
      <w:r>
        <w:br/>
        <w:t xml:space="preserve">    22. </w:t>
      </w:r>
      <w:proofErr w:type="gramStart"/>
      <w:r>
        <w:t xml:space="preserve">Судам следует повысить внимание к выявлению и устранению причин и условий, способствующих совершению хищений огнестрельного оружия, комплектующих деталей к нему, боеприпасов, взрывчатых веществ или взрывных устройств, реагируя в установленном законом порядке на каждый факт небрежного отношения к сбережению оружия лицами, которым оно вверено по службе, оставления без охраны или надлежащего оборудования мест хранения </w:t>
      </w:r>
      <w:bookmarkStart w:id="70" w:name="l104"/>
      <w:bookmarkEnd w:id="70"/>
      <w:r>
        <w:t>оружия, боеприпасов, взрывчатых веществ или взрывных устройств</w:t>
      </w:r>
      <w:proofErr w:type="gramEnd"/>
      <w:r>
        <w:t xml:space="preserve">, нарушения порядка их </w:t>
      </w:r>
      <w:bookmarkStart w:id="71" w:name="l72"/>
      <w:bookmarkEnd w:id="71"/>
      <w:r>
        <w:t xml:space="preserve">учета, выдачи, транспортировки, неправильного их использования и применения. </w:t>
      </w:r>
      <w:r>
        <w:br/>
        <w:t xml:space="preserve">    23. В связи с принятием настоящего постановления признать утратившим силу постановление Пленума Верховного Суда Российской Федерации </w:t>
      </w:r>
      <w:hyperlink r:id="rId55" w:history="1">
        <w:r>
          <w:rPr>
            <w:rStyle w:val="a4"/>
          </w:rPr>
          <w:t>от 25 июня 1996 г. N 5</w:t>
        </w:r>
      </w:hyperlink>
      <w:r>
        <w:t xml:space="preserve"> "О судебной практике по делам о хищении и незаконном обороте оружия, боеприпасов и </w:t>
      </w:r>
      <w:r>
        <w:lastRenderedPageBreak/>
        <w:t xml:space="preserve">взрывчатых веществ". </w:t>
      </w:r>
      <w:r>
        <w:br/>
        <w:t> </w:t>
      </w:r>
    </w:p>
    <w:p w:rsidR="00015E33" w:rsidRDefault="00015E33" w:rsidP="00015E33">
      <w:pPr>
        <w:pStyle w:val="a3"/>
        <w:jc w:val="right"/>
      </w:pPr>
      <w:r>
        <w:rPr>
          <w:i/>
          <w:iCs/>
        </w:rPr>
        <w:t xml:space="preserve">Председатель </w:t>
      </w:r>
      <w:r>
        <w:br/>
      </w:r>
      <w:r>
        <w:rPr>
          <w:i/>
          <w:iCs/>
        </w:rPr>
        <w:t xml:space="preserve">Верховного Суда </w:t>
      </w:r>
      <w:r>
        <w:br/>
      </w:r>
      <w:r>
        <w:rPr>
          <w:i/>
          <w:iCs/>
        </w:rPr>
        <w:t xml:space="preserve">Российской Федерации </w:t>
      </w:r>
      <w:r>
        <w:br/>
      </w:r>
      <w:r>
        <w:rPr>
          <w:i/>
          <w:iCs/>
        </w:rPr>
        <w:t xml:space="preserve">В. ЛЕБЕДЕВ </w:t>
      </w:r>
    </w:p>
    <w:p w:rsidR="00015E33" w:rsidRDefault="00015E33" w:rsidP="00015E33">
      <w:pPr>
        <w:pStyle w:val="a3"/>
      </w:pPr>
      <w:r>
        <w:t> </w:t>
      </w:r>
    </w:p>
    <w:p w:rsidR="00015E33" w:rsidRDefault="00015E33" w:rsidP="00015E33">
      <w:pPr>
        <w:pStyle w:val="a3"/>
        <w:jc w:val="right"/>
      </w:pPr>
      <w:r>
        <w:rPr>
          <w:i/>
          <w:iCs/>
        </w:rPr>
        <w:t xml:space="preserve">Секретарь Пленума, </w:t>
      </w:r>
      <w:r>
        <w:br/>
      </w:r>
      <w:r>
        <w:rPr>
          <w:i/>
          <w:iCs/>
        </w:rPr>
        <w:t xml:space="preserve">судья Верховного Суда </w:t>
      </w:r>
      <w:r>
        <w:br/>
      </w:r>
      <w:r>
        <w:rPr>
          <w:i/>
          <w:iCs/>
        </w:rPr>
        <w:t xml:space="preserve">Российской Федерации </w:t>
      </w:r>
      <w:r>
        <w:br/>
      </w:r>
      <w:r>
        <w:rPr>
          <w:i/>
          <w:iCs/>
        </w:rPr>
        <w:t xml:space="preserve">В. ДЕМИДОВ </w:t>
      </w:r>
    </w:p>
    <w:p w:rsidR="00015E33" w:rsidRDefault="00015E33" w:rsidP="00015E33">
      <w:pPr>
        <w:pStyle w:val="a3"/>
      </w:pPr>
      <w:r>
        <w:t> </w:t>
      </w:r>
    </w:p>
    <w:p w:rsidR="00820A4A" w:rsidRDefault="00820A4A"/>
    <w:sectPr w:rsidR="00820A4A" w:rsidSect="00820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015E33"/>
    <w:rsid w:val="00015E33"/>
    <w:rsid w:val="00820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5E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eferent.ru/7/103066?l171" TargetMode="External"/><Relationship Id="rId18" Type="http://schemas.openxmlformats.org/officeDocument/2006/relationships/hyperlink" Target="http://www.referent.ru/1/65264?l994" TargetMode="External"/><Relationship Id="rId26" Type="http://schemas.openxmlformats.org/officeDocument/2006/relationships/hyperlink" Target="http://www.referent.ru/1/65264?l982" TargetMode="External"/><Relationship Id="rId39" Type="http://schemas.openxmlformats.org/officeDocument/2006/relationships/hyperlink" Target="http://www.referent.ru/1/65264?l974" TargetMode="External"/><Relationship Id="rId21" Type="http://schemas.openxmlformats.org/officeDocument/2006/relationships/hyperlink" Target="http://www.referent.ru/1/65264?l982" TargetMode="External"/><Relationship Id="rId34" Type="http://schemas.openxmlformats.org/officeDocument/2006/relationships/hyperlink" Target="http://www.referent.ru/1/16569?l17" TargetMode="External"/><Relationship Id="rId42" Type="http://schemas.openxmlformats.org/officeDocument/2006/relationships/hyperlink" Target="http://www.referent.ru/7/103066?l173" TargetMode="External"/><Relationship Id="rId47" Type="http://schemas.openxmlformats.org/officeDocument/2006/relationships/hyperlink" Target="http://www.referent.ru/7/103066?l173" TargetMode="External"/><Relationship Id="rId50" Type="http://schemas.openxmlformats.org/officeDocument/2006/relationships/hyperlink" Target="http://www.referent.ru/1/65264?l974" TargetMode="External"/><Relationship Id="rId55" Type="http://schemas.openxmlformats.org/officeDocument/2006/relationships/hyperlink" Target="http://www.referent.ru/7/19157" TargetMode="External"/><Relationship Id="rId7" Type="http://schemas.openxmlformats.org/officeDocument/2006/relationships/hyperlink" Target="http://www.referent.ru/1/16569" TargetMode="External"/><Relationship Id="rId12" Type="http://schemas.openxmlformats.org/officeDocument/2006/relationships/hyperlink" Target="http://www.referent.ru/7/103066?l171" TargetMode="External"/><Relationship Id="rId17" Type="http://schemas.openxmlformats.org/officeDocument/2006/relationships/hyperlink" Target="http://www.referent.ru/1/65264?l974" TargetMode="External"/><Relationship Id="rId25" Type="http://schemas.openxmlformats.org/officeDocument/2006/relationships/hyperlink" Target="http://www.referent.ru/1/65264?l974" TargetMode="External"/><Relationship Id="rId33" Type="http://schemas.openxmlformats.org/officeDocument/2006/relationships/hyperlink" Target="http://www.referent.ru/1/16569?l33" TargetMode="External"/><Relationship Id="rId38" Type="http://schemas.openxmlformats.org/officeDocument/2006/relationships/hyperlink" Target="http://www.referent.ru/1/16569?l154" TargetMode="External"/><Relationship Id="rId46" Type="http://schemas.openxmlformats.org/officeDocument/2006/relationships/hyperlink" Target="http://www.referent.ru/1/65264?l9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eferent.ru/7/103066?l171" TargetMode="External"/><Relationship Id="rId20" Type="http://schemas.openxmlformats.org/officeDocument/2006/relationships/hyperlink" Target="http://www.referent.ru/1/65264?l974" TargetMode="External"/><Relationship Id="rId29" Type="http://schemas.openxmlformats.org/officeDocument/2006/relationships/hyperlink" Target="http://www.referent.ru/1/65264?l974" TargetMode="External"/><Relationship Id="rId41" Type="http://schemas.openxmlformats.org/officeDocument/2006/relationships/hyperlink" Target="http://www.referent.ru/1/65264?l994" TargetMode="External"/><Relationship Id="rId54" Type="http://schemas.openxmlformats.org/officeDocument/2006/relationships/hyperlink" Target="http://www.referent.ru/1/65264?l224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referent.ru/1/65264?l994" TargetMode="External"/><Relationship Id="rId11" Type="http://schemas.openxmlformats.org/officeDocument/2006/relationships/hyperlink" Target="http://www.referent.ru/1/65264?l994" TargetMode="External"/><Relationship Id="rId24" Type="http://schemas.openxmlformats.org/officeDocument/2006/relationships/hyperlink" Target="http://www.referent.ru/1/16569?l41" TargetMode="External"/><Relationship Id="rId32" Type="http://schemas.openxmlformats.org/officeDocument/2006/relationships/hyperlink" Target="http://www.referent.ru/1/16569?l15" TargetMode="External"/><Relationship Id="rId37" Type="http://schemas.openxmlformats.org/officeDocument/2006/relationships/hyperlink" Target="http://www.referent.ru/1/65264?l974" TargetMode="External"/><Relationship Id="rId40" Type="http://schemas.openxmlformats.org/officeDocument/2006/relationships/hyperlink" Target="http://www.referent.ru/1/65264?l994" TargetMode="External"/><Relationship Id="rId45" Type="http://schemas.openxmlformats.org/officeDocument/2006/relationships/hyperlink" Target="http://www.referent.ru/1/65264?l994" TargetMode="External"/><Relationship Id="rId53" Type="http://schemas.openxmlformats.org/officeDocument/2006/relationships/hyperlink" Target="http://www.referent.ru/1/65264?l994" TargetMode="External"/><Relationship Id="rId5" Type="http://schemas.openxmlformats.org/officeDocument/2006/relationships/hyperlink" Target="http://www.referent.ru/1/65264?l974" TargetMode="External"/><Relationship Id="rId15" Type="http://schemas.openxmlformats.org/officeDocument/2006/relationships/hyperlink" Target="http://www.referent.ru/1/65264?l994" TargetMode="External"/><Relationship Id="rId23" Type="http://schemas.openxmlformats.org/officeDocument/2006/relationships/hyperlink" Target="http://www.referent.ru/7/103066?l171" TargetMode="External"/><Relationship Id="rId28" Type="http://schemas.openxmlformats.org/officeDocument/2006/relationships/hyperlink" Target="http://www.referent.ru/7/103066?l171" TargetMode="External"/><Relationship Id="rId36" Type="http://schemas.openxmlformats.org/officeDocument/2006/relationships/hyperlink" Target="http://www.referent.ru/1/16569?l58" TargetMode="External"/><Relationship Id="rId49" Type="http://schemas.openxmlformats.org/officeDocument/2006/relationships/hyperlink" Target="http://www.referent.ru/1/65264?l982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referent.ru/1/65264?l974" TargetMode="External"/><Relationship Id="rId19" Type="http://schemas.openxmlformats.org/officeDocument/2006/relationships/hyperlink" Target="http://www.referent.ru/7/103066?l171" TargetMode="External"/><Relationship Id="rId31" Type="http://schemas.openxmlformats.org/officeDocument/2006/relationships/hyperlink" Target="http://www.referent.ru/1/2672?l31" TargetMode="External"/><Relationship Id="rId44" Type="http://schemas.openxmlformats.org/officeDocument/2006/relationships/hyperlink" Target="http://www.referent.ru/1/65264?l994" TargetMode="External"/><Relationship Id="rId52" Type="http://schemas.openxmlformats.org/officeDocument/2006/relationships/hyperlink" Target="http://www.referent.ru/1/65264?l1469" TargetMode="External"/><Relationship Id="rId4" Type="http://schemas.openxmlformats.org/officeDocument/2006/relationships/hyperlink" Target="http://www.referent.ru/7/103066" TargetMode="External"/><Relationship Id="rId9" Type="http://schemas.openxmlformats.org/officeDocument/2006/relationships/hyperlink" Target="http://www.referent.ru/1/16569?l5" TargetMode="External"/><Relationship Id="rId14" Type="http://schemas.openxmlformats.org/officeDocument/2006/relationships/hyperlink" Target="http://www.referent.ru/1/65264?l982" TargetMode="External"/><Relationship Id="rId22" Type="http://schemas.openxmlformats.org/officeDocument/2006/relationships/hyperlink" Target="http://www.referent.ru/1/65264?l7537" TargetMode="External"/><Relationship Id="rId27" Type="http://schemas.openxmlformats.org/officeDocument/2006/relationships/hyperlink" Target="http://www.referent.ru/1/16569?l41" TargetMode="External"/><Relationship Id="rId30" Type="http://schemas.openxmlformats.org/officeDocument/2006/relationships/hyperlink" Target="http://www.referent.ru/1/65264?l989" TargetMode="External"/><Relationship Id="rId35" Type="http://schemas.openxmlformats.org/officeDocument/2006/relationships/hyperlink" Target="http://www.referent.ru/1/16569?l41" TargetMode="External"/><Relationship Id="rId43" Type="http://schemas.openxmlformats.org/officeDocument/2006/relationships/hyperlink" Target="http://www.referent.ru/1/65264?l994" TargetMode="External"/><Relationship Id="rId48" Type="http://schemas.openxmlformats.org/officeDocument/2006/relationships/hyperlink" Target="http://www.referent.ru/1/65264?l974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www.referent.ru/1/16569" TargetMode="External"/><Relationship Id="rId51" Type="http://schemas.openxmlformats.org/officeDocument/2006/relationships/hyperlink" Target="http://www.referent.ru/1/65264?l982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3596</Words>
  <Characters>20498</Characters>
  <Application>Microsoft Office Word</Application>
  <DocSecurity>0</DocSecurity>
  <Lines>170</Lines>
  <Paragraphs>48</Paragraphs>
  <ScaleCrop>false</ScaleCrop>
  <Company>Microsoft</Company>
  <LinksUpToDate>false</LinksUpToDate>
  <CharactersWithSpaces>24046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2013-04-30T08:19:00Z</dcterms:created>
  <dcterms:modified xsi:type="dcterms:W3CDTF">2013-04-30T08:21:00Z</dcterms:modified>
</cp:coreProperties>
</file>